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5B6" w:rsidRDefault="00D825B6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Статья 116.1 УК РФ признана частично не соответствующей Конституции РФ</w:t>
      </w:r>
    </w:p>
    <w:p w:rsidR="00D825B6" w:rsidRDefault="00D825B6" w:rsidP="00301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25B6" w:rsidRPr="00D825B6" w:rsidRDefault="00D825B6" w:rsidP="00D825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5B6">
        <w:rPr>
          <w:sz w:val="28"/>
          <w:szCs w:val="28"/>
        </w:rPr>
        <w:t>Постановлением Конституционного суда РФ от 08.04.2021 № 11-П статья 116.1 УК РФ признана не соответствующей Конституции РФ в той мере, в какой она не обеспечивает соразмерную уголовно-правовую защиту права на личную неприкосновенность и права на охрану достоинства личности от насилия.</w:t>
      </w:r>
    </w:p>
    <w:p w:rsidR="00D825B6" w:rsidRPr="00D825B6" w:rsidRDefault="00D825B6" w:rsidP="00D825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5B6">
        <w:rPr>
          <w:sz w:val="28"/>
          <w:szCs w:val="28"/>
        </w:rPr>
        <w:t>В настоящее время статьей 116.1 УК РФ уголовная ответственность установлена только для лиц, совершивших деяние в период, когда они считаются подвергнутыми административному наказанию.</w:t>
      </w:r>
    </w:p>
    <w:p w:rsidR="00D825B6" w:rsidRPr="00D825B6" w:rsidRDefault="00D825B6" w:rsidP="00D825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5B6">
        <w:rPr>
          <w:sz w:val="28"/>
          <w:szCs w:val="28"/>
        </w:rPr>
        <w:t>Таким образом, лица имеющих судимость за совершение аналогичного преступления, ставятся в привилегированное положение по отношению к лицам, подвергнутым административному наказанию.</w:t>
      </w:r>
    </w:p>
    <w:p w:rsidR="00D825B6" w:rsidRPr="00D825B6" w:rsidRDefault="00D825B6" w:rsidP="00D825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5B6">
        <w:rPr>
          <w:sz w:val="28"/>
          <w:szCs w:val="28"/>
        </w:rPr>
        <w:t xml:space="preserve">Конституционный Суд РФ указал, что федеральный законодатель не должен был игнорировать состояние предшествующей судимости за повторное нанесение побоев, поскольку данные обстоятельства объективно свидетельствуют о повышенной общественной опасности такого насилия и лица, его причинившего. </w:t>
      </w:r>
    </w:p>
    <w:p w:rsidR="00D825B6" w:rsidRPr="00D825B6" w:rsidRDefault="00D825B6" w:rsidP="00D825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5B6">
        <w:rPr>
          <w:sz w:val="28"/>
          <w:szCs w:val="28"/>
        </w:rPr>
        <w:t>Повторность указывает на устойчивость поведения виновного, склонность к разрешению конфликтов насильственным способом, неуважение к достоинству личности. В еще большей степени недостаточность административного наказания и невыполнение государством своих обязанностей по защите личности проявляются в случае применения такого насилия к одному и тому же потерпевшему. Это дает конституционно значимые основания для применения государством наиболее строгих - уголовно-правовых - средств защиты личности.</w:t>
      </w:r>
    </w:p>
    <w:p w:rsidR="00D825B6" w:rsidRPr="00D825B6" w:rsidRDefault="00D825B6" w:rsidP="00D825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5B6">
        <w:rPr>
          <w:sz w:val="28"/>
          <w:szCs w:val="28"/>
        </w:rPr>
        <w:t xml:space="preserve">Конституционным судом постановлено, что Федеральному законодателю надлежит внести в действующее законодательство изменения, предусматривающие ответственность за повторное нанесения побоев в период погашения судимости. </w:t>
      </w:r>
    </w:p>
    <w:p w:rsidR="00D825B6" w:rsidRPr="00D825B6" w:rsidRDefault="00D825B6" w:rsidP="00D825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5B6">
        <w:rPr>
          <w:sz w:val="28"/>
          <w:szCs w:val="28"/>
        </w:rPr>
        <w:t>До внесения Федеральным законодателем изменений, сохраняет силу действующая редакция статьи 116.1 УК РФ.</w:t>
      </w:r>
    </w:p>
    <w:p w:rsidR="000B41FE" w:rsidRPr="00D825B6" w:rsidRDefault="000B41FE" w:rsidP="001A35D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B41FE" w:rsidRDefault="00194F8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5E0D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5AB8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VIP`s</cp:lastModifiedBy>
  <cp:revision>2</cp:revision>
  <cp:lastPrinted>2021-04-27T17:31:00Z</cp:lastPrinted>
  <dcterms:created xsi:type="dcterms:W3CDTF">2021-04-28T06:15:00Z</dcterms:created>
  <dcterms:modified xsi:type="dcterms:W3CDTF">2021-04-28T06:15:00Z</dcterms:modified>
</cp:coreProperties>
</file>